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ROSAC0111ZPB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lrib5azdcp7r"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Mestecănișul de la Reci</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sdt>
        <w:sdtPr>
          <w:id w:val="156647671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sdt>
        <w:sdtPr>
          <w:id w:val="-105856224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sz w:val="22"/>
          <w:szCs w:val="22"/>
        </w:rPr>
      </w:pPr>
      <w:bookmarkStart w:colFirst="0" w:colLast="0" w:name="_heading=h.uz0zg4l5tyfo" w:id="1"/>
      <w:bookmarkEnd w:id="1"/>
      <w:sdt>
        <w:sdtPr>
          <w:id w:val="1602197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F">
      <w:pPr>
        <w:spacing w:after="0" w:lineRule="auto"/>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bookmarkStart w:colFirst="0" w:colLast="0" w:name="_heading=h.odmis859rg2s"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 </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528,20</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24,86%</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3">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rtl w:val="0"/>
              </w:rPr>
              <w:t xml:space="preserve">Centru</w:t>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Covasna</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528,20</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naturală RONPA0389 Mestecănișul Reci - Bălțile de la Ozun – Sântionlunca.</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998/2016 privind aprobarea Planului de management și a Regulamentului sitului Natura 2000 ROSCI0111 Mestecănișul de la Reci și al rezervației naturale VII.9 Mestecănișul Reci - Bălțile de la Ozun – Sântionlunca.</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3412"/>
        <w:gridCol w:w="5588"/>
        <w:tblGridChange w:id="0">
          <w:tblGrid>
            <w:gridCol w:w="3412"/>
            <w:gridCol w:w="558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b w:val="1"/>
                <w:bCs w:val="1"/>
                <w:sz w:val="22"/>
                <w:szCs w:val="22"/>
              </w:rPr>
            </w:pPr>
            <w:r w:rsidDel="00000000" w:rsidR="00000000" w:rsidRPr="00000000">
              <w:rPr>
                <w:b w:val="1"/>
                <w:bCs w:val="1"/>
                <w:sz w:val="22"/>
                <w:szCs w:val="22"/>
                <w:rtl w:val="0"/>
              </w:rPr>
              <w:t xml:space="preserve">Habitate de apă dulce</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3150 Lacuri eutrofe naturale cu vegetaţie de Magnopotamion sau Hydrocharition</w:t>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b w:val="1"/>
                <w:bCs w:val="1"/>
                <w:sz w:val="22"/>
                <w:szCs w:val="22"/>
                <w:rtl w:val="0"/>
              </w:rPr>
              <w:t xml:space="preserve">Habitate</w:t>
            </w:r>
            <w:r w:rsidDel="00000000" w:rsidR="00000000" w:rsidRPr="00000000">
              <w:rPr>
                <w:i w:val="1"/>
                <w:iCs w:val="1"/>
                <w:sz w:val="22"/>
                <w:szCs w:val="22"/>
                <w:rtl w:val="0"/>
              </w:rPr>
              <w:t xml:space="preserve"> </w:t>
            </w:r>
            <w:r w:rsidDel="00000000" w:rsidR="00000000" w:rsidRPr="00000000">
              <w:rPr>
                <w:b w:val="1"/>
                <w:bCs w:val="1"/>
                <w:sz w:val="22"/>
                <w:szCs w:val="22"/>
                <w:rtl w:val="0"/>
              </w:rPr>
              <w:t xml:space="preserve">de pajiști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i w:val="1"/>
                <w:iCs w:val="1"/>
                <w:sz w:val="22"/>
                <w:szCs w:val="22"/>
                <w:rtl w:val="0"/>
              </w:rPr>
              <w:t xml:space="preserve">6120* Pajiști xerice și calcifile pe nisipuri</w:t>
            </w:r>
          </w:p>
          <w:p w:rsidR="00000000" w:rsidDel="00000000" w:rsidP="00000000" w:rsidRDefault="00000000" w:rsidRPr="00000000" w14:paraId="00000082">
            <w:pPr>
              <w:spacing w:after="0" w:lineRule="auto"/>
              <w:jc w:val="both"/>
              <w:rPr>
                <w:b w:val="1"/>
                <w:bCs w:val="1"/>
                <w:sz w:val="22"/>
                <w:szCs w:val="22"/>
              </w:rPr>
            </w:pPr>
            <w:r w:rsidDel="00000000" w:rsidR="00000000" w:rsidRPr="00000000">
              <w:rPr>
                <w:b w:val="1"/>
                <w:bCs w:val="1"/>
                <w:sz w:val="22"/>
                <w:szCs w:val="22"/>
                <w:rtl w:val="0"/>
              </w:rPr>
              <w:t xml:space="preserve">Habitate</w:t>
            </w:r>
            <w:r w:rsidDel="00000000" w:rsidR="00000000" w:rsidRPr="00000000">
              <w:rPr>
                <w:i w:val="1"/>
                <w:iCs w:val="1"/>
                <w:sz w:val="22"/>
                <w:szCs w:val="22"/>
                <w:rtl w:val="0"/>
              </w:rPr>
              <w:t xml:space="preserve"> </w:t>
            </w:r>
            <w:r w:rsidDel="00000000" w:rsidR="00000000" w:rsidRPr="00000000">
              <w:rPr>
                <w:b w:val="1"/>
                <w:bCs w:val="1"/>
                <w:sz w:val="22"/>
                <w:szCs w:val="22"/>
                <w:rtl w:val="0"/>
              </w:rPr>
              <w:t xml:space="preserve">de pajiști umede seminaturale cu ierburi înalte</w:t>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i w:val="1"/>
                <w:iCs w:val="1"/>
                <w:sz w:val="22"/>
                <w:szCs w:val="22"/>
                <w:rtl w:val="0"/>
              </w:rPr>
              <w:t xml:space="preserve">6430 Comunităţi de lizieră cu ierburi înalte higrofile de la câmpie şi din etajul montan până în cel alpin </w:t>
            </w:r>
          </w:p>
          <w:p w:rsidR="00000000" w:rsidDel="00000000" w:rsidP="00000000" w:rsidRDefault="00000000" w:rsidRPr="00000000" w14:paraId="00000084">
            <w:pPr>
              <w:spacing w:after="0" w:lineRule="auto"/>
              <w:jc w:val="both"/>
              <w:rPr>
                <w:b w:val="1"/>
                <w:bCs w:val="1"/>
                <w:sz w:val="22"/>
                <w:szCs w:val="22"/>
              </w:rPr>
            </w:pPr>
            <w:r w:rsidDel="00000000" w:rsidR="00000000" w:rsidRPr="00000000">
              <w:rPr>
                <w:i w:val="1"/>
                <w:iCs w:val="1"/>
                <w:sz w:val="22"/>
                <w:szCs w:val="22"/>
                <w:rtl w:val="0"/>
              </w:rPr>
              <w:t xml:space="preserve">6440 Pajişti aluviale ale văilor râurilor din Cnidion dubii </w:t>
            </w:r>
            <w:r w:rsidDel="00000000" w:rsidR="00000000" w:rsidRPr="00000000">
              <w:rPr>
                <w:rtl w:val="0"/>
              </w:rPr>
            </w:r>
          </w:p>
          <w:p w:rsidR="00000000" w:rsidDel="00000000" w:rsidP="00000000" w:rsidRDefault="00000000" w:rsidRPr="00000000" w14:paraId="00000085">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i w:val="1"/>
                <w:iCs w:val="1"/>
                <w:sz w:val="22"/>
                <w:szCs w:val="22"/>
                <w:rtl w:val="0"/>
              </w:rPr>
              <w:t xml:space="preserve">91D0* Turbării cu vegetație forestieră </w:t>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i w:val="1"/>
                <w:iCs w:val="1"/>
                <w:sz w:val="22"/>
                <w:szCs w:val="22"/>
                <w:rtl w:val="0"/>
              </w:rPr>
              <w:t xml:space="preserve">91E0* Păduri aluviale de Alnus glutinosa şi Fraxinus excelsior (Alno-Padion, Alnion incanae, Salicion albae)</w:t>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 </w:t>
            </w:r>
            <w:r w:rsidDel="00000000" w:rsidR="00000000" w:rsidRPr="00000000">
              <w:rPr>
                <w:i w:val="1"/>
                <w:iCs w:val="1"/>
                <w:rtl w:val="0"/>
              </w:rPr>
              <w:br w:type="textWrapping"/>
            </w:r>
            <w:r w:rsidDel="00000000" w:rsidR="00000000" w:rsidRPr="00000000">
              <w:rPr>
                <w:i w:val="1"/>
                <w:iCs w:val="1"/>
                <w:sz w:val="22"/>
                <w:szCs w:val="22"/>
                <w:rtl w:val="0"/>
              </w:rPr>
              <w:t xml:space="preserve">91Y0 Păduri dacice de stejar şi carpen </w:t>
            </w:r>
          </w:p>
          <w:p w:rsidR="00000000" w:rsidDel="00000000" w:rsidP="00000000" w:rsidRDefault="00000000" w:rsidRPr="00000000" w14:paraId="00000089">
            <w:pPr>
              <w:spacing w:after="0" w:lineRule="auto"/>
              <w:jc w:val="both"/>
              <w:rPr>
                <w:i w:val="1"/>
                <w:iCs w:val="1"/>
              </w:rPr>
            </w:pPr>
            <w:r w:rsidDel="00000000" w:rsidR="00000000" w:rsidRPr="00000000">
              <w:rPr>
                <w:i w:val="1"/>
                <w:iCs w:val="1"/>
                <w:sz w:val="22"/>
                <w:szCs w:val="22"/>
                <w:rtl w:val="0"/>
              </w:rPr>
              <w:t xml:space="preserve">9150 Păduri medio-europene de fag din Cephalanthero-Fagion pe substrate calcaroase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94">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1197 Pelobates fuscus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1214 Rana arvalis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9B">
            <w:pPr>
              <w:spacing w:after="0" w:lineRule="auto"/>
              <w:rPr>
                <w:b w:val="1"/>
                <w:bCs w:val="1"/>
                <w:i w:val="1"/>
                <w:iCs w:val="1"/>
                <w:sz w:val="22"/>
                <w:szCs w:val="22"/>
              </w:rPr>
            </w:pPr>
            <w:r w:rsidDel="00000000" w:rsidR="00000000" w:rsidRPr="00000000">
              <w:rPr>
                <w:b w:val="1"/>
                <w:bCs w:val="1"/>
                <w:i w:val="1"/>
                <w:iCs w:val="1"/>
                <w:sz w:val="22"/>
                <w:szCs w:val="22"/>
                <w:rtl w:val="0"/>
              </w:rPr>
              <w:t xml:space="preserve">Reptile</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9D">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1477 Pulsatilla patens</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1516 Aldrovanda vesiculosa</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Drosera rotundifolia</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Elatine triandra</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Fritillaria meleagris</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Iris sibirica</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Lysimachia thyrsiflora</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Menyanthes trifoliata</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Nuphar lutea</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Nymphaea alba</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Potentilla palustris</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Pulsatilla pratensis</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Utricularia vulgaris</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1381 Dicranum viride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habitate forestiere ripariene, habitate de pajiști seminaturale și ecosisteme acvatice și umede de interes comunitar: 91Y0 — păduri dacice de stejar și carpen; 6430 — comunități de lizieră cu ierburi înalte hidrofile; 91E0 — păduri aluviale de A</w:t>
            </w:r>
            <w:r w:rsidDel="00000000" w:rsidR="00000000" w:rsidRPr="00000000">
              <w:rPr>
                <w:i w:val="1"/>
                <w:iCs w:val="1"/>
                <w:sz w:val="22"/>
                <w:szCs w:val="22"/>
                <w:rtl w:val="0"/>
              </w:rPr>
              <w:t xml:space="preserve">lnus, Fraxinus și Salix;</w:t>
            </w:r>
            <w:r w:rsidDel="00000000" w:rsidR="00000000" w:rsidRPr="00000000">
              <w:rPr>
                <w:sz w:val="22"/>
                <w:szCs w:val="22"/>
                <w:rtl w:val="0"/>
              </w:rPr>
              <w:t xml:space="preserve"> și alte habitate (9130, 6120, 6440, 9150, 3150). Habitatele forestiere din ZPB includ păduri încadrate în tipul funcțional 1 (T1) — păduri cu funcții speciale de protecție, cu interzicerea tăierilor. Zona include suprafețe încadrate în categorii de protecție națională: rezervație naturală.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AE">
            <w:pPr>
              <w:spacing w:after="0" w:line="240" w:lineRule="auto"/>
              <w:rPr>
                <w:sz w:val="22"/>
                <w:szCs w:val="22"/>
              </w:rPr>
            </w:pPr>
            <w:r w:rsidDel="00000000" w:rsidR="00000000" w:rsidRPr="00000000">
              <w:rPr>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Rule="auto"/>
              <w:jc w:val="both"/>
              <w:rPr>
                <w:sz w:val="22"/>
                <w:szCs w:val="22"/>
              </w:rPr>
            </w:pPr>
            <w:r w:rsidDel="00000000" w:rsidR="00000000" w:rsidRPr="00000000">
              <w:rPr>
                <w:sz w:val="22"/>
                <w:szCs w:val="22"/>
                <w:rtl w:val="0"/>
              </w:rPr>
              <w:t xml:space="preserve">B02.01.02 Replantarea pădurii (arbori nenativi)</w:t>
            </w:r>
            <w:r w:rsidDel="00000000" w:rsidR="00000000" w:rsidRPr="00000000">
              <w:rPr>
                <w:rtl w:val="0"/>
              </w:rPr>
              <w:br w:type="textWrapping"/>
            </w:r>
            <w:r w:rsidDel="00000000" w:rsidR="00000000" w:rsidRPr="00000000">
              <w:rPr>
                <w:sz w:val="22"/>
                <w:szCs w:val="22"/>
                <w:rtl w:val="0"/>
              </w:rPr>
              <w:t xml:space="preserve">I01 Specii invazive non-native (alogene)</w:t>
            </w:r>
          </w:p>
          <w:p w:rsidR="00000000" w:rsidDel="00000000" w:rsidP="00000000" w:rsidRDefault="00000000" w:rsidRPr="00000000" w14:paraId="000000B1">
            <w:pPr>
              <w:spacing w:after="0" w:lineRule="auto"/>
              <w:rPr>
                <w:sz w:val="22"/>
                <w:szCs w:val="22"/>
              </w:rPr>
            </w:pPr>
            <w:r w:rsidDel="00000000" w:rsidR="00000000" w:rsidRPr="00000000">
              <w:rPr>
                <w:sz w:val="22"/>
                <w:szCs w:val="22"/>
                <w:rtl w:val="0"/>
              </w:rPr>
              <w:t xml:space="preserve">D01.02 - drumuri, autostrăzi</w:t>
            </w:r>
          </w:p>
          <w:p w:rsidR="00000000" w:rsidDel="00000000" w:rsidP="00000000" w:rsidRDefault="00000000" w:rsidRPr="00000000" w14:paraId="000000B2">
            <w:pPr>
              <w:spacing w:after="0" w:lineRule="auto"/>
              <w:rPr>
                <w:sz w:val="22"/>
                <w:szCs w:val="22"/>
              </w:rPr>
            </w:pPr>
            <w:r w:rsidDel="00000000" w:rsidR="00000000" w:rsidRPr="00000000">
              <w:rPr>
                <w:sz w:val="22"/>
                <w:szCs w:val="22"/>
                <w:rtl w:val="0"/>
              </w:rPr>
              <w:t xml:space="preserve">H05.01 - gunoiul şi deşeurile solide</w:t>
            </w:r>
          </w:p>
          <w:p w:rsidR="00000000" w:rsidDel="00000000" w:rsidP="00000000" w:rsidRDefault="00000000" w:rsidRPr="00000000" w14:paraId="000000B3">
            <w:pPr>
              <w:spacing w:after="0" w:lineRule="auto"/>
              <w:rPr>
                <w:sz w:val="22"/>
                <w:szCs w:val="22"/>
              </w:rPr>
            </w:pPr>
            <w:r w:rsidDel="00000000" w:rsidR="00000000" w:rsidRPr="00000000">
              <w:rPr>
                <w:sz w:val="22"/>
                <w:szCs w:val="22"/>
                <w:rtl w:val="0"/>
              </w:rPr>
              <w:t xml:space="preserve">J01.01 – incendii</w:t>
            </w:r>
          </w:p>
          <w:p w:rsidR="00000000" w:rsidDel="00000000" w:rsidP="00000000" w:rsidRDefault="00000000" w:rsidRPr="00000000" w14:paraId="000000B4">
            <w:pPr>
              <w:spacing w:after="0" w:lineRule="auto"/>
              <w:rPr/>
            </w:pPr>
            <w:r w:rsidDel="00000000" w:rsidR="00000000" w:rsidRPr="00000000">
              <w:rPr>
                <w:sz w:val="22"/>
                <w:szCs w:val="22"/>
                <w:rtl w:val="0"/>
              </w:rPr>
              <w:t xml:space="preserve">A04 - Păşunatul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B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B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B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C5">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1">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E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E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E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FB">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FD">
            <w:pPr>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F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10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102">
            <w:pPr>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103">
            <w:pPr>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104">
            <w:pPr>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106">
            <w:pPr>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10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08">
            <w:pPr>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109">
            <w:pPr>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10A">
            <w:pPr>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10B">
            <w:pPr>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10C">
            <w:pPr>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10D">
            <w:pPr>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10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1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syrqbxngmihb" w:id="3"/>
      <w:bookmarkEnd w:id="3"/>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11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11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11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11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Ministerul Mediului, Apelor și Pădurilor 2021. Formularul Standard al sitului Natura 2000 ROSCI0111 Mestecănișul de la Reci</w:t>
      </w:r>
    </w:p>
    <w:p w:rsidR="00000000" w:rsidDel="00000000" w:rsidP="00000000" w:rsidRDefault="00000000" w:rsidRPr="00000000" w14:paraId="00000117">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bookmarkStart w:colFirst="0" w:colLast="0" w:name="_heading=h.gmeews986tqz" w:id="4"/>
      <w:bookmarkEnd w:id="4"/>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1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wcque1z5g3f1" w:id="5"/>
      <w:bookmarkEnd w:id="5"/>
      <w:r w:rsidDel="00000000" w:rsidR="00000000" w:rsidRPr="00000000">
        <w:rPr>
          <w:color w:val="000000"/>
          <w:sz w:val="22"/>
          <w:szCs w:val="22"/>
          <w:rtl w:val="0"/>
        </w:rPr>
        <w:t xml:space="preserve">Consultări publice realizate: 30 mai 2025 – DS Covasna</w:t>
        <w:br w:type="textWrapping"/>
        <w:t xml:space="preserve">18 iunie 2025 – online,  jud. Covasna.</w:t>
      </w:r>
    </w:p>
    <w:p w:rsidR="00000000" w:rsidDel="00000000" w:rsidP="00000000" w:rsidRDefault="00000000" w:rsidRPr="00000000" w14:paraId="0000011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b w:val="1"/>
          <w:bCs w:val="1"/>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22 ianuarie 2026, online, 16-17 aprilie 2026 </w:t>
      </w:r>
      <w:r w:rsidDel="00000000" w:rsidR="00000000" w:rsidRPr="00000000">
        <w:rPr>
          <w:color w:val="000000"/>
          <w:sz w:val="22"/>
          <w:szCs w:val="22"/>
          <w:rtl w:val="0"/>
        </w:rPr>
        <w:t xml:space="preserve">cu participarea factorilor interesați relevanți din județul Covasna.</w:t>
      </w:r>
      <w:r w:rsidDel="00000000" w:rsidR="00000000" w:rsidRPr="00000000">
        <w:rPr>
          <w:rtl w:val="0"/>
        </w:rPr>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spacing w:line="240" w:lineRule="auto"/>
        <w:rPr>
          <w:sz w:val="22"/>
          <w:szCs w:val="22"/>
        </w:rPr>
      </w:pPr>
      <w:bookmarkStart w:colFirst="0" w:colLast="0" w:name="_heading=h.nrlbwfb05029" w:id="6"/>
      <w:bookmarkEnd w:id="6"/>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color w:val="000000"/>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24">
      <w:pPr>
        <w:rPr>
          <w:sz w:val="22"/>
          <w:szCs w:val="22"/>
        </w:rPr>
      </w:pPr>
      <w:r w:rsidDel="00000000" w:rsidR="00000000" w:rsidRPr="00000000">
        <w:rPr>
          <w:rtl w:val="0"/>
        </w:rPr>
      </w:r>
    </w:p>
    <w:p w:rsidR="00000000" w:rsidDel="00000000" w:rsidP="00000000" w:rsidRDefault="00000000" w:rsidRPr="00000000" w14:paraId="00000125">
      <w:pPr>
        <w:rPr>
          <w:sz w:val="22"/>
          <w:szCs w:val="22"/>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259"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160" w:line="259" w:lineRule="auto"/>
    </w:pPr>
    <w:rPr>
      <w:rFonts w:ascii="Times New Roman" w:cs="Times New Roman" w:eastAsia="Times New Roman" w:hAnsi="Times New Roman"/>
      <w:color w:val="36609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s+LOdbtcBK3GiBE9yWftKVdV6g==">CgMxLjAaMAoBMBIrCikIB0IlChFRdWF0dHJvY2VudG8gU2FucxIQQXJpYWwgVW5pY29kZSBNUxowCgExEisKKQgHQiUKEVF1YXR0cm9jZW50byBTYW5zEhBBcmlhbCBVbmljb2RlIE1TGjAKATISKwopCAdCJQoRUXVhdHRyb2NlbnRvIFNhbnMSEEFyaWFsIFVuaWNvZGUgTVMyDmgubHJpYjVhemRjcDdyMg5oLnV6MHpnNGw1dHlmbzIOaC5vZG1pczg1OXJnMnMyDmguc3lycWJ4bmdtaWhiMg5oLmdtZWV3czk4NnRxejIOaC53Y3F1ZTF6NWczZjEyDmgubnJsYndmYjA1MDI5OAByITFPRkt5OXBITlZDYTVQZEEwMFV1clprQ2xIZVRrMGhN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